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styles.xml" ContentType="application/vnd.openxmlformats-officedocument.wordprocessingml.styl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37d3982e0ba4131" /></Relationships>
</file>

<file path=word/document.xml><?xml version="1.0" encoding="utf-8"?>
<w:document xmlns:w="http://schemas.openxmlformats.org/wordprocessingml/2006/main">
  <w:body>
    <w:tbl>
      <w:tblPr>
        <w:tblW w:w="9000" w:type="dxa"/>
        <w:tblBorders>
          <w:top w:val="nil"/>
          <w:bottom w:val="nil"/>
          <w:left w:val="nil"/>
          <w:right w:val="nil"/>
          <w:insideH w:val="nil"/>
          <w:insideV w:val="nil"/>
        </w:tblBorders>
        <w:tblCellSpacing w:w="60" w:type="dxa"/>
        <w:shd w:val="clear" w:color="auto" w:fill="E7F0F9"/>
      </w:tblPr>
      <w:tblGrid>
        <w:gridCol w:w="1200"/>
        <w:gridCol w:w="4500"/>
      </w:tblGrid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RKP broj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36766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Naziv obveznika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OPĆINA DONJI ANDRIJEVCI</w:t>
            </w:r>
          </w:p>
        </w:tc>
      </w:tr>
      <w:tr>
        <w:tc>
          <w:tcPr>
            <w:tcW w:w="1200" w:type="pct"/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rPr>
                <w:b/>
              </w:rPr>
              <w:t xml:space="preserve">Razina</w:t>
            </w:r>
          </w:p>
        </w:tc>
        <w:tc>
          <w:tcPr>
            <w:shd w:val="clear" w:color="auto" w:fill="E7F0F9"/>
          </w:tcPr>
          <w:p>
            <w:pPr>
              <w:spacing w:before="0" w:after="0" w:line="240" w:lineRule="auto"/>
              <w:jc w:val="left"/>
            </w:pPr>
            <w:r>
              <w:t xml:space="preserve">23</w:t>
            </w:r>
          </w:p>
        </w:tc>
      </w:tr>
    </w:tbl>
    <w:p>
      <w:r>
        <w:br/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BILJEŠKE UZ FINANCIJSKE IZVJEŠTAJE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ZA RAZDOBLJE</w:t>
      </w:r>
    </w:p>
    <w:p>
      <w:pPr>
        <w:jc w:val="center"/>
        <w:pStyle w:val="Normal"/>
        <w:spacing w:line="240" w:lineRule="auto"/>
      </w:pPr>
      <w:r>
        <w:rPr>
          <w:b/>
          <w:sz w:val="28"/>
          <w:rFonts w:ascii="Times New Roman" w:hAnsi="Times New Roman"/>
        </w:rPr>
        <w:t xml:space="preserve">I - XII 2025.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prihodima i rashodima, primicima i izdacima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0" w:type="auto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2.715.057,85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3.822.550,00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140,8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POSLOVANJA (šifre 31+32+34+35+36+37+38)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1.839.584,70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2.033.218,05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110,5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875.473,15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1.789.331,95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204,4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od prodaje nefinancijske imovine (šifre 71+72+73+74)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10.887,74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6.080,73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55,8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Rashodi za nabavu nefinancijske imovine (šifre 41+42+43+44+45)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1.146.909,41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2.493.099,97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217,4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OD NEFINANCIJSKE IMOVINE (šifre 4-7)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1.136.021,67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2.487.019,24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218,9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od financijske imovine i zaduživanja (šifre 81+82+83+84+85)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661.353,43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132,3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64.190,52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778,9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VIŠAK PRIMITAKA OD FINANCIJSKE IMOVINE I ZADUŽIVANJA (šifre 8-5)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X003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435.809,48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161.353,43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37,0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MANJAK PRIHODA I PRIMITAKA (šifre Y345-X678)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Y005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536.333,86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Općina Donji Andrijevci u izvještajnom je razdoblju ostvarila višak prihoda poslovanja u iznosu od 1.789.331,95 eura, manjak prihoda od nefinancijske imovine 2.487.019,24 eura te višak prihoda od financijske imovine 161.353,43 eura, što daje ukupno ostvareni manjak prihoda i primitaka u iznosu od 536.333,86 eura.</w:t>
      </w:r>
    </w:p>
    <w:p>
      <w:r>
        <w:t xml:space="preserve">Kao proračunskog korisnika u konsolidiranom izvještaju općina ima Dječji vrtić Vila Zvončica.</w:t>
      </w:r>
    </w:p>
    <w:p>
      <w:r>
        <w:t xml:space="preserve"> </w:t>
      </w:r>
    </w:p>
    <w:p>
      <w:r>
        <w:br/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PRIHODI POSLOVANJA (šifre 61+62+63+64+65+66+67+68)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2.715.057,85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3.822.550,00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140,8</w:t>
            </w:r>
          </w:p>
        </w:tc>
      </w:tr>
    </w:tbl>
    <w:p>
      <w:pPr>
        <w:spacing w:before="0" w:after="0"/>
      </w:pPr>
    </w:p>
    <w:p>
      <w:r>
        <w:t xml:space="preserve">Vidljivo značajno povećanje prihoda poslovanja, a najveći udio u njima imaju sredstva pomoći, ostvarenje iznosi 3.822.550,00 eura., indeks 140,8.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Porez na dohodak od kapitala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6114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37.446,80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80.249,14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214,3</w:t>
            </w:r>
          </w:p>
        </w:tc>
      </w:tr>
    </w:tbl>
    <w:p>
      <w:pPr>
        <w:spacing w:before="0" w:after="0"/>
      </w:pPr>
    </w:p>
    <w:p>
      <w:r>
        <w:t xml:space="preserve">Povećanje stavke porez na dohodak od kapitala, prema izvješću Fine, u odnosu na prethodnu godinu, ostvareno 80.249,14 eura, indeks 214,3.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Tekuće 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888.275,12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146.088,74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16,4</w:t>
            </w:r>
          </w:p>
        </w:tc>
      </w:tr>
    </w:tbl>
    <w:p>
      <w:pPr>
        <w:spacing w:before="0" w:after="0"/>
      </w:pPr>
    </w:p>
    <w:p>
      <w:r>
        <w:t xml:space="preserve">Tekuće pomoći , smanjenje u odnosu na prethodnu godinu, radi novog konta za evidentiranje i knjiženje pomoći fiskalnog izravnanja:</w:t>
      </w:r>
    </w:p>
    <w:p>
      <w:r>
        <w:t xml:space="preserve">Pomoći sadrže:</w:t>
      </w:r>
    </w:p>
    <w:p>
      <w:r>
        <w:t xml:space="preserve">Ministarstvo kulture-samičarska radionica-3.000,00 eura</w:t>
      </w:r>
    </w:p>
    <w:p>
      <w:r>
        <w:t xml:space="preserve">Ministarstvo poljoprivrede-za štete od elementarne nepogode-ukupno 107.704,95 eura ( po namjeni i vrsti nepogode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42.900,00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207.981,46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484,8</w:t>
            </w:r>
          </w:p>
        </w:tc>
      </w:tr>
    </w:tbl>
    <w:p>
      <w:pPr>
        <w:spacing w:before="0" w:after="0"/>
      </w:pPr>
    </w:p>
    <w:p>
      <w:r>
        <w:t xml:space="preserve">Smanjenje u odnosu na prethodnu godinu, radi završetka pojedinih ulaganja koje se protežu iz prethodnih godina, pa su i smanjena sredstva s kojima se učestvovalo u projektima od strane državnog proračuna. </w:t>
      </w:r>
    </w:p>
    <w:p>
      <w:r>
        <w:t xml:space="preserve">Kapitalne pomoći sadrže sredstva od:</w:t>
      </w:r>
    </w:p>
    <w:p>
      <w:r>
        <w:t xml:space="preserve">Ministarstvo turizma- za malonogometno igralište-45.000,00  eura</w:t>
      </w:r>
    </w:p>
    <w:p>
      <w:r>
        <w:t xml:space="preserve">Ministarstvo graditeljstva- za nabavku višenamjenskog stroja- 46.400,00 eura</w:t>
      </w:r>
    </w:p>
    <w:p>
      <w:r>
        <w:t xml:space="preserve">Ministarstvo demografije-za igralište- 29.306,25 eura</w:t>
      </w:r>
    </w:p>
    <w:p>
      <w:r>
        <w:t xml:space="preserve">Ministarstvo regionalnog razvoja-nacionalno sufinanciranje za vrtić- 87.275,21 eura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pomoći temeljem prijenosa EU sredstava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6382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498.745,77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1.577.742,70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316,3</w:t>
            </w:r>
          </w:p>
        </w:tc>
      </w:tr>
    </w:tbl>
    <w:p>
      <w:pPr>
        <w:spacing w:before="0" w:after="0"/>
      </w:pPr>
    </w:p>
    <w:p>
      <w:r>
        <w:t xml:space="preserve">Kapitalne pomoći na ovoj stavci, povećanje u odnosu na prethodnu godinu, radi pojačanih radova na završetku izgradnje dječjeg vrtića, izgradnje šumskih puteva , pješačko-biciklistički staza. Ostvarenje iznosi 1.577.742,70 eura, indeks 316,3.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Komunalne naknade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10.798,39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70.510,54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653,0</w:t>
            </w:r>
          </w:p>
        </w:tc>
      </w:tr>
    </w:tbl>
    <w:p>
      <w:pPr>
        <w:spacing w:before="0" w:after="0"/>
      </w:pPr>
    </w:p>
    <w:p>
      <w:r>
        <w:t xml:space="preserve">Povećano ostvarenje u 2025.g., radi ažuriranja stanja i pravovremenog slanja uplatnica i obavijesti. Ostvareno je 70.510,54 eura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Plaće za redovan rad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224.651,34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332.028,53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147,8</w:t>
            </w:r>
          </w:p>
        </w:tc>
      </w:tr>
    </w:tbl>
    <w:p>
      <w:pPr>
        <w:spacing w:before="0" w:after="0"/>
      </w:pPr>
    </w:p>
    <w:p>
      <w:r>
        <w:t xml:space="preserve">Povećanje rashoda plaća,  zato što su zaposleni u projektu Zaželi radili cijelu prošlu godinu, ali i sama osnovica plaće za zaposlene u općinskoj upravi je usklađivana tijekom godine. Ostvareno je 332.028,53 eura, indeks 147,8.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Ostale naknade troškova zaposlenima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2.667,75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10.008,50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375,2</w:t>
            </w:r>
          </w:p>
        </w:tc>
      </w:tr>
    </w:tbl>
    <w:p>
      <w:pPr>
        <w:spacing w:before="0" w:after="0"/>
      </w:pPr>
    </w:p>
    <w:p>
      <w:r>
        <w:t xml:space="preserve">Povećanje ove stavke vezano za rashode za zaposlene, odnosno za zaposlene projekta Zaželi, korištenje osobnih automobila za obilazak i brigu o korisnicima u projektu. Ostvareno je 10.008,50 eura, indeks 375,2.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promidžbe i informiranja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41.461,39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71.602,74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172,7</w:t>
            </w:r>
          </w:p>
        </w:tc>
      </w:tr>
    </w:tbl>
    <w:p>
      <w:pPr>
        <w:spacing w:before="0" w:after="0"/>
      </w:pPr>
    </w:p>
    <w:p>
      <w:r>
        <w:t xml:space="preserve">Povećanje ove stavke, vezano je  za promidžbu općinskih aktivnosti i aktivnosti oko kapitalnih projekata općine. Ostvareno 71.602,74 eura, indeks 172,7.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Računalne usluge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17.457,75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40.522,23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232,1</w:t>
            </w:r>
          </w:p>
        </w:tc>
      </w:tr>
    </w:tbl>
    <w:p>
      <w:pPr>
        <w:spacing w:before="0" w:after="0"/>
      </w:pPr>
    </w:p>
    <w:p>
      <w:r>
        <w:t xml:space="preserve">Povećanje ove stavke, vezano je za uvođenje novih aplikaciju u općinu, odnosno za njihovo održavanje se izdvajaju veća sredstva , ostvarenje je 40.522,23 eura, indeks 232,1.</w:t>
      </w:r>
    </w:p>
    <w:p>
      <w:r>
        <w:t xml:space="preserve">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Naknade za rad predstavničkih i izvršnih tijela, povjerenstava i slično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3291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10.509,59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33.929,09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322,8</w:t>
            </w:r>
          </w:p>
        </w:tc>
      </w:tr>
    </w:tbl>
    <w:p>
      <w:pPr>
        <w:spacing w:before="0" w:after="0"/>
      </w:pPr>
    </w:p>
    <w:p>
      <w:r>
        <w:t xml:space="preserve">Ova stavka bilježi povećanje, radi isplata naknada biračkih odbora i povjerenstva  koji su angažirani na lokalnim izborima u 2025.g. Ostvarena je sa 33.929,09 eura, indeks 322,8.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Kamate za primljene kredite i zajmove od kreditnih i ostalih financijskih institucija izvan javnog sektora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4.327,05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17.432,18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402,9</w:t>
            </w:r>
          </w:p>
        </w:tc>
      </w:tr>
    </w:tbl>
    <w:p>
      <w:pPr>
        <w:spacing w:before="0" w:after="0"/>
      </w:pPr>
    </w:p>
    <w:p>
      <w:r>
        <w:t xml:space="preserve">Ova stavka odnosi se na rashode za obračunate kamate prilikom korištenja kredita i kratkoročnog zaduženje općine, ostvarena je sa 17.432,18 eura, indeks 402,9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Kapitalne donacije građanima i kućanstvima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3822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19.642,38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36.002,45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183,3</w:t>
            </w:r>
          </w:p>
        </w:tc>
      </w:tr>
    </w:tbl>
    <w:p>
      <w:pPr>
        <w:spacing w:before="0" w:after="0"/>
      </w:pPr>
    </w:p>
    <w:p>
      <w:r>
        <w:t xml:space="preserve">Povećanje ove stavke radi izdvajanja sredstava za kapitalne pomoći mladim obiteljima, za koja su i iz Ministarstva poljoprivrede pristigla dodatna sredstva, ostvarenje je 36.002,45 eura, indeks 183,3.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VIŠAK PRIHODA POSLOVANJA (šifre 6-Z005)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X001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875.473,15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1.789.331,95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204,4</w:t>
            </w:r>
          </w:p>
        </w:tc>
      </w:tr>
    </w:tbl>
    <w:p>
      <w:pPr>
        <w:spacing w:before="0" w:after="0"/>
      </w:pPr>
    </w:p>
    <w:p>
      <w:r>
        <w:t xml:space="preserve">U izvještajnom razdoblju ostvaren je višak prihoda poslovanja, i iznosi 1.789.331,95  eura, u odnosu na prethodnu godinu, index 204,4.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Ceste, željeznice i ostali prometni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12.800,00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1.322.468,41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&gt;&gt;100</w:t>
            </w:r>
          </w:p>
        </w:tc>
      </w:tr>
    </w:tbl>
    <w:p>
      <w:pPr>
        <w:spacing w:before="0" w:after="0"/>
      </w:pPr>
    </w:p>
    <w:p>
      <w:r>
        <w:t xml:space="preserve">Razlog povećanja ove stavke je kapitalno ulaganje u izgradnju šumskih puteva i pješačko biciklističkih staza na području općine. ostvarenje iznosi 1.322.468,41 eura, indeks &gt;&gt; 100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Uredska oprema i namještaj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23.505,42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81.194,93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345,4</w:t>
            </w:r>
          </w:p>
        </w:tc>
      </w:tr>
    </w:tbl>
    <w:p>
      <w:pPr>
        <w:spacing w:before="0" w:after="0"/>
      </w:pPr>
    </w:p>
    <w:p>
      <w:r>
        <w:t xml:space="preserve">Povećanje ove stavke, odnosi se u velikoj mjeri na evidentiranje troškova opremanja dječjeg vrtića, ali i kupnja opreme za potrebe općine. Ostvarenje iznosi 81.194,93, indeks 345,4.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Instrumenti i uređaji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5.432,48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121.325,00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2233,3</w:t>
            </w:r>
          </w:p>
        </w:tc>
      </w:tr>
    </w:tbl>
    <w:p>
      <w:pPr>
        <w:spacing w:before="0" w:after="0"/>
      </w:pPr>
    </w:p>
    <w:p>
      <w:r>
        <w:t xml:space="preserve">Povećanje ove stavke, odnosi se u velikoj mjeri na evidentiranje troškova opremanja dječjeg vrtića. Ostvarenje iznosi 121.325,00 eura,  indeks 2233,3..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19.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Sportska i glazbena oprema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33.958,75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Evidentirana kupnja opreme za potrebe opremanja vrtića, te kupnja igrala i sportske opreme za dječja igrališta. Ostvarenje iznosi 33.958,75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Uređaji, strojevi i oprema za ostale namjene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4227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52.938,17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86.127,46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162,7</w:t>
            </w:r>
          </w:p>
        </w:tc>
      </w:tr>
    </w:tbl>
    <w:p>
      <w:pPr>
        <w:spacing w:before="0" w:after="0"/>
      </w:pPr>
    </w:p>
    <w:p>
      <w:r>
        <w:t xml:space="preserve">Povećanje ove stavke, odnosi se u velikoj mjeri na evidentiranje troškova opremanja dječjeg vrtića, te  kupnja opreme za potrebe općine. Ostvarenje iznosi 86.127,46 eura, indeks 162,7.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UKUPAN MANJAK PRIHODA (šifre Y034-X067)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Y004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260.548,52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697.687,29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267,8</w:t>
            </w:r>
          </w:p>
        </w:tc>
      </w:tr>
    </w:tbl>
    <w:p>
      <w:pPr>
        <w:spacing w:before="0" w:after="0"/>
      </w:pPr>
    </w:p>
    <w:p>
      <w:r>
        <w:t xml:space="preserve">Ostvarenje ovolikog manjka prihoda od rezultat je financiranja izdataka za nefinancijsku imovine iz prihoda poslovanja. Ostvareno je 697.687,29 eura, indeks 267,8.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Primici (povrati) glavnice zajmova danih trgovačkim društvima u javnom sektoru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814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37.000,00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Primljena povrat danog zajma komunalnom društvu, 37.000,00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Primljeni krediti od tuzemnih kreditnih institucija izvan javnog sektora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8443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624.353,43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Sredstva se odnose na iskorišteni iznos kratkoročnog kredita kod poslovne banke, ostvarenje 624.353,43  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Izdaci za financijsku imovinu i otplate zajmova (šifre 51+52+53+54+55)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64.190,52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778,9</w:t>
            </w:r>
          </w:p>
        </w:tc>
      </w:tr>
    </w:tbl>
    <w:p>
      <w:pPr>
        <w:spacing w:before="0" w:after="0"/>
      </w:pPr>
    </w:p>
    <w:p>
      <w:r>
        <w:t xml:space="preserve">Ova stavka se odnosi na povrat kratkoročnog kredita realiziranog u prethodnoj godini, 500.000,00 eura, indeks 778,9.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Bilanca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IMOVINA (šifre B002+1)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B001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8.565.902,18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10.234.496,01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119,5</w:t>
            </w:r>
          </w:p>
        </w:tc>
      </w:tr>
    </w:tbl>
    <w:p>
      <w:pPr>
        <w:spacing w:before="0" w:after="0"/>
      </w:pPr>
    </w:p>
    <w:p>
      <w:r>
        <w:t xml:space="preserve">Kod imovine, povećanje ukupne vrijednosti, radi ulaganja i izgradnju objekata komunalne infrastrukture i dječjeg  vrtića  u 2025.g., stanje 31.12.2025. je 10.234.496,00 eura, indeks 119,5. 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Poslovni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785.317,40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2.055.212,32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261,7</w:t>
            </w:r>
          </w:p>
        </w:tc>
      </w:tr>
    </w:tbl>
    <w:p>
      <w:pPr>
        <w:spacing w:before="0" w:after="0"/>
      </w:pPr>
    </w:p>
    <w:p>
      <w:r>
        <w:t xml:space="preserve">Povećanje radi završene izgradnje dječje vrtića koji je stavljen u uporabu, stanje na dan 31.12. iznosi 2.055.212,32 eura, indeks 261,7.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Ceste, željeznice i ostali prometni objekti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0213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1.294.234,72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1.978.886,36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152,9</w:t>
            </w:r>
          </w:p>
        </w:tc>
      </w:tr>
    </w:tbl>
    <w:p>
      <w:pPr>
        <w:spacing w:before="0" w:after="0"/>
      </w:pPr>
    </w:p>
    <w:p>
      <w:r>
        <w:t xml:space="preserve">Povećanje stavke, radi završene izgradnje šumskih puteva koji su stavljen na imovinu u uporabi, stanje na dan 31.12. iznosi 1.978.886,36 eura, indeks 152,9.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 i 02922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Postrojenja i oprema (šifre 0221 do 0228 - 02922)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022 i 02922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201.211,50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473.970,69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235,6</w:t>
            </w:r>
          </w:p>
        </w:tc>
      </w:tr>
    </w:tbl>
    <w:p>
      <w:pPr>
        <w:spacing w:before="0" w:after="0"/>
      </w:pPr>
    </w:p>
    <w:p>
      <w:r>
        <w:t xml:space="preserve">Povećana ulaganja radi evidentirane kupnje opreme za opremanje dječjeg vrtića i općinske uprave. Stanje na dan 31.12.2025. je 473.970,69 eura nakon obračunate amortizacije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29.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Ulaganja u računalne programe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0262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34.912,92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46.912,92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134,4</w:t>
            </w:r>
          </w:p>
        </w:tc>
      </w:tr>
    </w:tbl>
    <w:p>
      <w:pPr>
        <w:spacing w:before="0" w:after="0"/>
      </w:pPr>
    </w:p>
    <w:p>
      <w:r>
        <w:t xml:space="preserve">Povećanje stavke radi kupnje i knjiženja nabavljenih računalnih aplikacija za potrebe općine.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Ispravak vrijednosti potraživanja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324.816,82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423.382,59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130,3</w:t>
            </w:r>
          </w:p>
        </w:tc>
      </w:tr>
    </w:tbl>
    <w:p>
      <w:pPr>
        <w:spacing w:before="0" w:after="0"/>
      </w:pPr>
    </w:p>
    <w:p>
      <w:r>
        <w:t xml:space="preserve">Ispravak vrijednosti napravljen je na svim stavkama kojima je dospjelost veća od 2 godine, osim na stavkama poreznih prihoda ( Porezna uprava) koji su općini dostavljeni prema starom Pravilniku, za čega postoji očitovanje Porezne uprave. Stanje 31.12. iznosi  423.382,59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(šifre 23+24+25+26+27+29)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600.185,57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865.176,54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144,2</w:t>
            </w:r>
          </w:p>
        </w:tc>
      </w:tr>
    </w:tbl>
    <w:p>
      <w:pPr>
        <w:spacing w:before="0" w:after="0"/>
      </w:pPr>
    </w:p>
    <w:p>
      <w:r>
        <w:t xml:space="preserve">Stanje obveza povećano u odnosu na prethodnu godinu, stanje na dan 31.12. iznosi 865.176,53 eura, indeks 144,2.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materijalne rashode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52.644,46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142.661,87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271,0</w:t>
            </w:r>
          </w:p>
        </w:tc>
      </w:tr>
    </w:tbl>
    <w:p>
      <w:pPr>
        <w:spacing w:before="0" w:after="0"/>
      </w:pPr>
    </w:p>
    <w:p>
      <w:r>
        <w:t xml:space="preserve">Zbog slabog priljeva sredstva i kašnjenje sa uplatama po završnim zahtjevima, kasnilo se i s plaćanjem dobavljačima.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kredite i zajmove (šifre 26X1+26X2)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500.000,00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624.353,43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124,9</w:t>
            </w:r>
          </w:p>
        </w:tc>
      </w:tr>
    </w:tbl>
    <w:p>
      <w:pPr>
        <w:spacing w:before="0" w:after="0"/>
      </w:pPr>
    </w:p>
    <w:p>
      <w:r>
        <w:t xml:space="preserve">Stanje obveze za kratkoročni kredit prema poslovnoj banci iznosi 624.353,43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Rezultat - višak/manjak (šifre 9221-9222)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922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294.106,10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-236.262,62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-80,3</w:t>
            </w:r>
          </w:p>
        </w:tc>
      </w:tr>
    </w:tbl>
    <w:p>
      <w:pPr>
        <w:spacing w:before="0" w:after="0"/>
      </w:pPr>
    </w:p>
    <w:p>
      <w:r>
        <w:t xml:space="preserve">U odnosu na prethodnu godine u ovoj, 2025.g. ostvaren je manjak  prihoda i to u iznosu od  -236.262,62 eura, indeks -80,3.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proračunu i izvanproračunskim korisnicima iz drugih proračuna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9633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132.055,92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Sadrži stanja prema sporazumima i zahtjevima za plaćanje, stanje na dan 31.12.2025. iznosi 132.055,92 eura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36.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Pomoći temeljem prijenosa EU sredstava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9638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46.304,10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Zahtjev za sredstva po ZNS u  projekta Zaželi, stanje na dan 31.12. iznosi 46.304,10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37.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1. siječnja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Stanje 31. prosinca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Izvanbilančni zapisi - pasiva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1.410.444,67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2.438.240,94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172,9</w:t>
            </w:r>
          </w:p>
        </w:tc>
      </w:tr>
    </w:tbl>
    <w:p>
      <w:pPr>
        <w:spacing w:before="0" w:after="0"/>
      </w:pPr>
    </w:p>
    <w:p>
      <w:r>
        <w:t xml:space="preserve">Izvanbilančni zapisi sadrže stavke konta 996-aktiva/pasiva, dana i primljena jamstva,  ugovore  za robe i usluge koji su aktivni, te stanje ugovorenih bespovratnih sredstava  za EU projekte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rashodima prema funkcijskoj klasifikaciji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38.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Izvršna i zakonodavna tijela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0111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678.340,08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1.360.481,84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200,6</w:t>
            </w:r>
          </w:p>
        </w:tc>
      </w:tr>
    </w:tbl>
    <w:p>
      <w:pPr>
        <w:spacing w:before="0" w:after="0"/>
      </w:pPr>
    </w:p>
    <w:p>
      <w:r>
        <w:t xml:space="preserve"> </w:t>
      </w:r>
    </w:p>
    <w:p>
      <w:r>
        <w:t xml:space="preserve">Ova funkcija sadrža sve rashode koji su odnose na izvršnih tijela općine, jedinstvenog upravnog odjela i općinskog vijeća. (plaće, ostale rashode za zaposlene, materijalne i ostale rashode).  Ostvarenje iznosi 1.360.481,84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39.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Usluge unapređenja stanovanja i zajednice (šifre 061 do 066)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1.529.083,74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2.572.297,07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168,2</w:t>
            </w:r>
          </w:p>
        </w:tc>
      </w:tr>
    </w:tbl>
    <w:p>
      <w:pPr>
        <w:spacing w:before="0" w:after="0"/>
      </w:pPr>
    </w:p>
    <w:p>
      <w:r>
        <w:t xml:space="preserve">Funkcija ulaganje u razvoj zajednice povećana je u odnosu na prethodnu godinu, radi pojačanih kapitalnih ulaganja u objekte komunalne infrastrukture,</w:t>
      </w:r>
    </w:p>
    <w:p>
      <w:r>
        <w:t xml:space="preserve">ostvareno u 2025.g. 2.572.297,07 eura, indeks 168,2.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40.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Službe rekreacije i sporta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081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70.350,00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99.063,24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140,8</w:t>
            </w:r>
          </w:p>
        </w:tc>
      </w:tr>
    </w:tbl>
    <w:p>
      <w:pPr>
        <w:spacing w:before="0" w:after="0"/>
      </w:pPr>
    </w:p>
    <w:p>
      <w:r>
        <w:t xml:space="preserve">Povećano je izdvajanje u službe rekreacije i sporta na području općine i u odnosu na prethodnu godinu index je  140,8. Ostvareno 99.063,24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41.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prethodne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Ostvareno u izvještajnom razdoblju tekuće godine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Kontrolni zbroj (šifre 01+02+03+04+05+06+07+08+09+10)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R1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2.986.494,11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4.526.318,02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151,6</w:t>
            </w:r>
          </w:p>
        </w:tc>
      </w:tr>
    </w:tbl>
    <w:p>
      <w:pPr>
        <w:spacing w:before="0" w:after="0"/>
      </w:pPr>
    </w:p>
    <w:p>
      <w:r>
        <w:t xml:space="preserve">Ovaj izvještaj daje nam stanje po funkcijskoj klasifikaciji odnosu na prethodnu godinu bilježi se povećanje, index 151,6. Iznos izvršenja 4.526.318,52 eura identičan je stanju izvršenih rashod poslovanja i rashoda za nabavu nefinancijske imovine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Promjene u vrijednosti i obujmu imovine i obveza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42.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povećanja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 smanjenja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 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Neproizvedena dugotrajna imovina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P002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0,00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359.174,29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Na ovom računu, evidentirane su promjene u vrijednosti imovine, odnosno ispravak vrijednosti koji je obračunat u 2025.g.</w:t>
      </w:r>
    </w:p>
    <w:p/>
    <w:p>
      <w:pPr>
        <w:jc w:val="center"/>
        <w:pStyle w:val="Normal"/>
        <w:spacing w:line="240" w:lineRule="auto"/>
        <w:keepNext/>
      </w:pPr>
      <w:r>
        <w:rPr>
          <w:b/>
          <w:sz w:val="28"/>
          <w:rFonts w:ascii="Times New Roman" w:hAnsi="Times New Roman"/>
        </w:rPr>
        <w:t xml:space="preserve">Izvještaj o obvezama</w:t>
      </w:r>
    </w:p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43.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/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Stanje dospjelih obveza na kraju izvještajnog razdoblja (šifre V008+D23+D24 + 'D dio 25,26' + D27)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V007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122.850,95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Do ovog iznosa dospjelih obveza na dan 31.12. došlo je radi kašnjenja uplata po odobrenim sredstvima ZNS-a, i kako nije bilo dostatnih sredstava  općina nije do kraja godine uspjela podmiriti sve dospjele obveze. Stanje obveza iznosi 122.850,95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44.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rashode poslovanja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ND23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111.490,30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Iznos od 111.490,30 eura  odnosi se na nedospjele obveze za rashode poslovanja, a u njima se nalaze plaće i rashodi za zaposlene za 12/2025, te pristigle obveze prema dobavljačima. Stanje iznosi 111.490,30 eura.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45.</w:t>
      </w:r>
    </w:p>
    <w:tbl>
      <w:tblPr>
        <w:tblBorders>
          <w:top w:val="single" w:color="BABABA" w:sz="12"/>
          <w:bottom w:val="single" w:color="BABABA" w:sz="12"/>
          <w:left w:val="single" w:color="BABABA" w:sz="12"/>
          <w:right w:val="single" w:color="BABABA" w:sz="12"/>
          <w:insideH w:val="single" w:color="BABABA" w:sz="8"/>
          <w:insideV w:val="single" w:color="DADADA" w:sz="8"/>
        </w:tblBorders>
        <w:tblW w:w="9000" w:type="dxa"/>
        <w:tblLayout w:type="fixed"/>
        <w:tblCellMar>
          <w:left w:w="40" w:type="dxa"/>
          <w:right w:w="40" w:type="dxa"/>
        </w:tblCellMar>
      </w:tblPr>
      <w:tblGrid>
        <w:gridCol w:w="700"/>
        <w:gridCol w:w="3180"/>
        <w:gridCol w:w="700"/>
        <w:gridCol w:w="1860"/>
        <w:gridCol w:w="700"/>
      </w:tblGrid>
      <w:tr>
        <w:trPr>
          <w:cantSplit/>
        </w:trPr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Račun iz rač. plana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Opis stavke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Šifra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Iznos</w:t>
            </w:r>
          </w:p>
        </w:tc>
        <w:tc>
          <w:tcPr>
            <w:shd w:val="clear" w:color="auto" w:fill="E7F0F9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  <w:b/>
              </w:rPr>
              <w:t>Indeks (%)</w:t>
            </w:r>
          </w:p>
        </w:tc>
      </w:tr>
      <w:tr>
        <w:trPr>
          <w:trHeight w:val="560" w:hRule="atLeast"/>
          <w:cantSplit/>
        </w:trPr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dio 25,26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Obveze za financijsku imovinu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lef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ND dio 25,26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624.353,43</w:t>
            </w:r>
          </w:p>
        </w:tc>
        <w:tc>
          <w:tcPr>
            <w:tcMar>
              <w:top w:w="0" w:type="dxa"/>
              <w:bottom w:w="0" w:type="dxa"/>
            </w:tcMar>
            <w:vAlign w:val="center"/>
          </w:tcPr>
          <w:p>
            <w:pPr>
              <w:jc w:val="right"/>
              <w:pStyle w:val="Normal"/>
              <w:spacing w:before="0" w:after="0" w:line="240" w:lineRule="auto"/>
              <w:keepNext/>
              <w:keepLines/>
            </w:pPr>
            <w:r>
              <w:rPr>
                <w:sz w:val="18"/>
                <w:rFonts w:ascii="Times New Roman" w:hAnsi="Times New Roman"/>
              </w:rPr>
              <w:t>-</w:t>
            </w:r>
          </w:p>
        </w:tc>
      </w:tr>
    </w:tbl>
    <w:p>
      <w:pPr>
        <w:spacing w:before="0" w:after="0"/>
      </w:pPr>
    </w:p>
    <w:p>
      <w:r>
        <w:t xml:space="preserve">Nedospjelo stanje glavnice kratkoročnog zaduženja , glavnica na dan  31.12.2025 je 624.353,43 eura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46.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Unutargrupne transakcije koje su u izvještajima eliminirane</w:t>
      </w:r>
    </w:p>
    <w:p>
      <w:r>
        <w:t xml:space="preserve">Eliminirane se stavke 671 i 367, zbog konsolidacije proračunskog korisnika Dječjeg vrtića Vila zvončica. Kod ove eliminacije eliminarno je 222,50 eura</w:t>
      </w:r>
    </w:p>
    <w:p/>
    <w:p>
      <w:pPr>
        <w:jc w:val="center"/>
        <w:pStyle w:val="Normal"/>
        <w:spacing w:line="240" w:lineRule="auto"/>
        <w:keepNext/>
      </w:pPr>
      <w:r>
        <w:rPr>
          <w:sz w:val="28"/>
          <w:rFonts w:ascii="Times New Roman" w:hAnsi="Times New Roman"/>
        </w:rPr>
        <w:t xml:space="preserve">Bilješka 47.</w:t>
      </w:r>
    </w:p>
    <w:p>
      <w:pPr>
        <w:jc w:val="both"/>
        <w:pStyle w:val="Normal"/>
        <w:spacing w:line="240" w:lineRule="auto"/>
      </w:pPr>
      <w:r>
        <w:rPr>
          <w:b/>
          <w:sz w:val="24"/>
          <w:rFonts w:ascii="Times New Roman" w:hAnsi="Times New Roman"/>
        </w:rPr>
        <w:t xml:space="preserve">Manjak ili višak u poslovanju grupe i pregled strukture manjka/viška po proračunskim korisnicima </w:t>
      </w:r>
    </w:p>
    <w:p>
      <w:r>
        <w:t xml:space="preserve">Manjak prihoda općine ostao je nepromjenjen jer proračunski korisnik nije imao niti višak niti manjak istvaren u svom poslovanju,</w:t>
      </w:r>
    </w:p>
    <w:p/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</w:rPr>
    </w:rPrDefault>
  </w:docDefaults>
  <w:style w:type="paragraph" w:styleId="Normal" w:default="true">
    <w:name w:val="Normal"/>
    <w:rPr>
      <w:rFonts w:ascii="Times New Roman" w:hAnsi="Times New Roman"/>
      <w:sz w:val="24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a9ac8c7b18eb4464" /></Relationships>
</file>